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E9" w:rsidRDefault="007A71E9"/>
    <w:p w:rsidR="007A71E9" w:rsidRDefault="00FE31CB">
      <w:pPr>
        <w:pStyle w:val="Naglaencitat"/>
        <w:rPr>
          <w:sz w:val="32"/>
          <w:szCs w:val="32"/>
          <w:shd w:val="clear" w:color="auto" w:fill="F6F7F8"/>
        </w:rPr>
      </w:pPr>
      <w:r>
        <w:rPr>
          <w:sz w:val="32"/>
          <w:szCs w:val="32"/>
          <w:shd w:val="clear" w:color="auto" w:fill="F6F7F8"/>
        </w:rPr>
        <w:t>Pitanja Udruge srednjoškolaca Hrvatske političkim strankama i listama povodom parlamentarnih izbora</w:t>
      </w:r>
    </w:p>
    <w:p w:rsidR="007A71E9" w:rsidRDefault="007A71E9">
      <w:pPr>
        <w:pStyle w:val="Naslov3"/>
      </w:pPr>
    </w:p>
    <w:p w:rsidR="007A71E9" w:rsidRDefault="00FE31CB">
      <w:pPr>
        <w:pStyle w:val="Naslov3"/>
        <w:rPr>
          <w:rFonts w:ascii="Helvetica" w:hAnsi="Helvetica" w:cs="Helvetica"/>
          <w:color w:val="373E4D"/>
          <w:shd w:val="clear" w:color="auto" w:fill="F6F7F8"/>
        </w:rPr>
      </w:pPr>
      <w:r>
        <w:rPr>
          <w:rFonts w:ascii="Helvetica" w:hAnsi="Helvetica" w:cs="Helvetica"/>
          <w:color w:val="373E4D"/>
          <w:shd w:val="clear" w:color="auto" w:fill="F6F7F8"/>
        </w:rPr>
        <w:t>Povodom predstojećih parlamentarnih izbora, Udruga srednjoškolaca Hrvatske je odlučila postaviti dvanaest identičnih pitanja svim političkim strankama i listama koje su imale svog zastupnika u zadnjem sazivu Hrvatskog sabora. Pitanja su vezana za srednjošk</w:t>
      </w:r>
      <w:r>
        <w:rPr>
          <w:rFonts w:ascii="Helvetica" w:hAnsi="Helvetica" w:cs="Helvetica"/>
          <w:color w:val="373E4D"/>
          <w:shd w:val="clear" w:color="auto" w:fill="F6F7F8"/>
        </w:rPr>
        <w:t xml:space="preserve">olsku populaciju i obrazovanje. </w:t>
      </w:r>
    </w:p>
    <w:p w:rsidR="007A71E9" w:rsidRDefault="007A71E9"/>
    <w:p w:rsidR="007A71E9" w:rsidRDefault="00FE31CB">
      <w:pPr>
        <w:numPr>
          <w:ilvl w:val="0"/>
          <w:numId w:val="1"/>
        </w:num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Koje je vaše mišljenje o subvencioniranju učeničkog prijevoza? Je li 75-postotna subvencija dovoljna ili bi trebalo u potpunosti financirati prijevoz srednjoškolaca?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  <w:t xml:space="preserve">Domoljubna koalicija u programu 5+ Hrvatska kroz točku 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socijalne osjetljivosti omogućiti će svakom srednjoškolcu iz područja posebne državne skrbi i iz obitelji socijalno ugroženih punu participaciju u trošku prijevoza. Također, stimulirat ćemo i lokalnu samoupravu za participaciju u trošku prijevoza srednjošk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olaca. 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Isto tako postrožiti ćemo kontrolu nad trošenjem sredstava kako bi uvjerili porezne obveznike da se subvencije za prijevoz koriste namjenski i u interesu učenika. </w:t>
      </w:r>
    </w:p>
    <w:p w:rsidR="007A71E9" w:rsidRDefault="00FE31CB">
      <w:pPr>
        <w:numPr>
          <w:ilvl w:val="0"/>
          <w:numId w:val="1"/>
        </w:num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Trebaju li srednjoškolci, poput osnovnoškolaca i studenata, imati pravo na topli obro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k u školi ili subvenciju u nekoj od "srednjoškolskih menza" (stavljeno pod navodnike jer ne postoje, već se hipotetski govori o njima)?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Ovaj problem treba sagledati u cijelosti i na razini sustava. Srednjoškolci kao i osnovnoškolci trebaju imati osiguran 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obrok u školama. U nekim sredinama je to pitanje jako uspješno riješeno. Našim preuzimanjem odgovornosti za vođenje sustava u cijelosti ćemo riješiti to pitanje. Problem je prije svega u nedostatku odgovarajućeg p</w:t>
      </w:r>
      <w:r w:rsidR="00BA0222">
        <w:rPr>
          <w:rFonts w:ascii="Calibri" w:eastAsia="Times New Roman" w:hAnsi="Calibri" w:cs="Times New Roman"/>
          <w:sz w:val="25"/>
          <w:szCs w:val="25"/>
          <w:lang w:eastAsia="hr-HR"/>
        </w:rPr>
        <w:t>rostora u obrazovnim institucija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m</w:t>
      </w:r>
      <w:r w:rsidR="00BA0222">
        <w:rPr>
          <w:rFonts w:ascii="Calibri" w:eastAsia="Times New Roman" w:hAnsi="Calibri" w:cs="Times New Roman"/>
          <w:sz w:val="25"/>
          <w:szCs w:val="25"/>
          <w:lang w:eastAsia="hr-HR"/>
        </w:rPr>
        <w:t>a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 (školskim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 kuhinjama). Ovdje vidimo Vijeća učenika, Centar za socijalnu skrb i druge srodne nevladine organizacije kao izvor informacija o stvarnim potrebama učenika.</w:t>
      </w:r>
    </w:p>
    <w:p w:rsidR="007A71E9" w:rsidRPr="00BA0222" w:rsidRDefault="00FE31CB">
      <w:pPr>
        <w:numPr>
          <w:ilvl w:val="0"/>
          <w:numId w:val="1"/>
        </w:numPr>
        <w:spacing w:after="324" w:line="240" w:lineRule="auto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Kako planirate poticati vrhunske učenike koji na državnim i međunarodnim natjecanjima postižu zapaž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ene rezultate?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  <w:t xml:space="preserve">Domoljubna koalicija je pokazala da su mladi na prvom mjestu i da ne želimo odljev mozgova koji nam se događa protekle 3 i pol godine, zato ćemo vratiti stipendije za nadarene učenike pobjednike državnih natjecanja.  Osim toga, 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lastRenderedPageBreak/>
        <w:t>učenicima ko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ji ostvaruju zapažene rezultate omogućit ćemo dodatan rad sa najkvalitetnijim mentorima u Centrima izvrsnosti. 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Nadalje, smatramo kako se rezultati na nat</w:t>
      </w:r>
      <w:r w:rsidR="00BA0222" w:rsidRPr="00BA0222">
        <w:rPr>
          <w:rFonts w:ascii="Calibri" w:eastAsia="Times New Roman" w:hAnsi="Calibri" w:cs="Times New Roman"/>
          <w:sz w:val="25"/>
          <w:szCs w:val="25"/>
          <w:lang w:eastAsia="hr-HR"/>
        </w:rPr>
        <w:t>jecanjima (plasman) trebaju vr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ednovati kao dodatno bodovi u selekcijskim postupcima na daljnjim obraz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ovnim razinama.</w:t>
      </w:r>
    </w:p>
    <w:p w:rsidR="007A71E9" w:rsidRPr="00BA0222" w:rsidRDefault="00FE31CB">
      <w:pPr>
        <w:numPr>
          <w:ilvl w:val="0"/>
          <w:numId w:val="1"/>
        </w:num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Koji od ovih predmeta smatrate najvažnijim: građanski odgoj, zdravstveni odgoj, medijski odgoj, poduzetništvo? Koje biste uveli u škole i zašto?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Teško je odgovoriti koji je najvažniji, svi su važni. U Domoljubnoj koaliciji smo stava kako s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e kroz </w:t>
      </w:r>
      <w:proofErr w:type="spellStart"/>
      <w:r>
        <w:rPr>
          <w:rFonts w:ascii="Calibri" w:eastAsia="Times New Roman" w:hAnsi="Calibri" w:cs="Times New Roman"/>
          <w:sz w:val="25"/>
          <w:szCs w:val="25"/>
          <w:lang w:eastAsia="hr-HR"/>
        </w:rPr>
        <w:t>kurikularnu</w:t>
      </w:r>
      <w:proofErr w:type="spellEnd"/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 reformu mora smanjiti opterećenje učenika brojem obveznih predmeta i povećati izbornost ovisno o afinitetima i stvarnim potrebama.  Tu bi se otvorio prostor za uvođenje dodatnih nastavnih sadržaja, pa onda i raznih odgojnih sadržaja. 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Vje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rujući kako se neki sadržaji i preklapaju smatramo da bi trebalo osmisliti načine provođenja navedenih sadržaja koji bi polučili njihov sinergijski obrazovni učinak. Poduzetnička kompetencija je jedna od temeljnih kompetencija određenih u europskom obrazov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nom prostoru pa ju svakako podržavamo vodeći računa o suvremenim načinima poučavanja (simulacijama, poslovnim slučajevima, terenskom nastavom i sl.)</w:t>
      </w:r>
    </w:p>
    <w:p w:rsidR="007A71E9" w:rsidRDefault="00FE31CB">
      <w:pPr>
        <w:numPr>
          <w:ilvl w:val="0"/>
          <w:numId w:val="1"/>
        </w:num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Smatrate li da bi državna matura trebala biti, uz ocjene, isključivi kriterij za upis na fakultet? Treba li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 ukinuti prijemne ispite ili bi oni i dalje trebali biti jedan od kriterija za formiranje rang-lista upisanih studenata?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Državna matura je svojevrsni ispit znanja i zrelosti, a Domoljubna koalicija ga kani unaprijediti i u suradnji sa Sveučilištima pronać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i metode kojima bi se omogućilo testiranje znanja koje se ispituje preko pojedinih prijemnih ispita. Dakako prijemni ispiti te njihovo postojanje i provedba spadaju pod nadležnost sveučilišta koja imaju Ustavom zagarantiranu autonomiju. </w:t>
      </w:r>
    </w:p>
    <w:p w:rsidR="007A71E9" w:rsidRPr="00BA0222" w:rsidRDefault="00FE31CB">
      <w:pPr>
        <w:numPr>
          <w:ilvl w:val="0"/>
          <w:numId w:val="1"/>
        </w:num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Planirate li nasta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viti s već započetom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kurikularnom</w:t>
      </w:r>
      <w:proofErr w:type="spellEnd"/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 reformom i, ako biste nastavili, koje biste novosti u srednjoškolsko obrazovanje uveli?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Unutar Domoljubne koalicije cijelo smo vrijeme davali smjernice, kritike i upute kako bolje provesti </w:t>
      </w:r>
      <w:proofErr w:type="spellStart"/>
      <w:r>
        <w:rPr>
          <w:rFonts w:ascii="Calibri" w:eastAsia="Times New Roman" w:hAnsi="Calibri" w:cs="Times New Roman"/>
          <w:sz w:val="25"/>
          <w:szCs w:val="25"/>
          <w:lang w:eastAsia="hr-HR"/>
        </w:rPr>
        <w:t>kurikularnu</w:t>
      </w:r>
      <w:proofErr w:type="spellEnd"/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 reformu.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 Umjesto toga, tri godine su se „bavili“ nasilnim nametanjem zdravstvenog odgoja i svjetonazorskim pitanjima. Nadasve ona je započeta krajem 2011. godine kada je napravljen Nacionalni okvirni kurikulum. Stoga smatramo nužnim nastaviti taj sveobuhvatni posa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o kako bi osigurali što kvalitetnije obrazovanje za naše učenike.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 </w:t>
      </w:r>
      <w:proofErr w:type="spellStart"/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Kurikularna</w:t>
      </w:r>
      <w:proofErr w:type="spellEnd"/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 xml:space="preserve"> reforma je dakle proces koji je započeo i koji razumijevamo preko procesa upravljanja kvalitetom učenja i poučavanja usmjerenog na učenička postignuća i ishode učenja. Pored jasn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o određenih kriterija</w:t>
      </w:r>
      <w:r w:rsidR="00BA0222">
        <w:rPr>
          <w:rFonts w:ascii="Calibri" w:eastAsia="Times New Roman" w:hAnsi="Calibri" w:cs="Times New Roman"/>
          <w:sz w:val="25"/>
          <w:szCs w:val="25"/>
          <w:lang w:eastAsia="hr-HR"/>
        </w:rPr>
        <w:t xml:space="preserve"> vrednovanja paralelno se zalaže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mo za</w:t>
      </w:r>
      <w:r>
        <w:rPr>
          <w:rFonts w:ascii="Calibri" w:eastAsia="Times New Roman" w:hAnsi="Calibri" w:cs="Times New Roman"/>
          <w:color w:val="FF0000"/>
          <w:sz w:val="25"/>
          <w:szCs w:val="25"/>
          <w:lang w:eastAsia="hr-HR"/>
        </w:rPr>
        <w:t xml:space="preserve"> </w:t>
      </w:r>
      <w:proofErr w:type="spellStart"/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lastRenderedPageBreak/>
        <w:t>fleksibilizaciju</w:t>
      </w:r>
      <w:proofErr w:type="spellEnd"/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 xml:space="preserve"> kurikuluma koja će, u obrazovnoj vertikali rezultirati adekvatnim pozicioniranjem nastavnih sadržaja i programa potrebama korisnika obrazovne usluge (učenika, roditelja, gospodarst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va, lokalne zajednice, civilnog društva te društva u cjelini).</w:t>
      </w:r>
    </w:p>
    <w:p w:rsidR="007A71E9" w:rsidRDefault="00FE31CB">
      <w:pPr>
        <w:numPr>
          <w:ilvl w:val="0"/>
          <w:numId w:val="1"/>
        </w:num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Na koji način planirate povećati participaciju učenika (tj. učeničkih predstavnika) u donošenju odluka koje se odnose direktno na njih (pr. vijeća učenika, sudjelovanje u donošenju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kurikula</w:t>
      </w:r>
      <w:proofErr w:type="spellEnd"/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, .)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Vijeća učenika su prvotno uvedena u Hrvatski školski obrazovni sustav 2005. godine. Ova Vlada je uvelike smanjila dosege rada Vijeća učenika u kojima i danas prepoznajemo mlade i kvalitetne predstavnike koji zrelo i argumentirano zastupaju svoja stajali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šta. Ispraviti ćemo veliku nepravdu počinjenu Vijećima učenika te ćemo u suradnji s Nacionalnim vijećem učenika Republike Hrvatske raditi na tome kako bi se učenički glas još jače čuo. </w:t>
      </w:r>
    </w:p>
    <w:p w:rsidR="007A71E9" w:rsidRPr="00BA0222" w:rsidRDefault="00FE31CB">
      <w:pPr>
        <w:numPr>
          <w:ilvl w:val="0"/>
          <w:numId w:val="1"/>
        </w:num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Prema vašem mišljenju, treba li volontiranje donositi dodatne bodove p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rilikom upisa u srednje škole i na fakultete? 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Domoljubna koalicija podržava volontiranje i nastaviti će ga podržavati kroz institucionalne okvire. Provesti ćemo javnu raspravu upravo na ovu temu s poslodavcima, učenicima, nevladinim sektorom i svim zaint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eresirani stranama kako bi čim bolje utvrdili parametre takvoga sustava. Smatramo kako se volontiranje kao oblik društvenog aktivizma treba dodatno razvijati. 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Nadalje, upravo je volontiranje učenika te poticanje istih na volonterski angažman dio emocionaln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og aspekta pružanja obrazovne usluge, odnosno odgojne komponente procesa odgoja i obrazovanja.</w:t>
      </w:r>
    </w:p>
    <w:p w:rsidR="007A71E9" w:rsidRDefault="00FE31CB">
      <w:pPr>
        <w:numPr>
          <w:ilvl w:val="0"/>
          <w:numId w:val="1"/>
        </w:num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Smatrate li da bi učenicima strukovnih škola trebalo olakšati upis na fakultet? Kako biste to učinili?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Učenici strukovnih škola su budući hrvatski obrtnici i po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duzetnici,</w:t>
      </w:r>
      <w:r w:rsidR="00BA0222">
        <w:rPr>
          <w:rFonts w:ascii="Calibri" w:eastAsia="Times New Roman" w:hAnsi="Calibri" w:cs="Times New Roman"/>
          <w:sz w:val="25"/>
          <w:szCs w:val="25"/>
          <w:lang w:eastAsia="hr-HR"/>
        </w:rPr>
        <w:t xml:space="preserve"> 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a mi ćemo im omogućiti poduzetničku klimu kroz program 5+ Hrvatska koji ćemo provesti u interesu svih građana i poduzetnika u Hrvatskoj. Posvetiti ćemo veliku pažnju dodatnom opremanju strukovnih škola s najmodernijim strojevima (opremom) kako bi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 xml:space="preserve"> učenicima osigurali mogućnost stjecanja potrebnih znanja za natjecanje na tržištu rada. Osim toga, imamo krasnih primjera strukovnih škola koje imaju svoje tvrtke i koje posluju na tržištu. Takve primjere želimo poticati jer se upravo u takvim uvjetima uč</w:t>
      </w:r>
      <w:r>
        <w:rPr>
          <w:rFonts w:ascii="Calibri" w:eastAsia="Times New Roman" w:hAnsi="Calibri" w:cs="Times New Roman"/>
          <w:sz w:val="25"/>
          <w:szCs w:val="25"/>
          <w:lang w:eastAsia="hr-HR"/>
        </w:rPr>
        <w:t>enici najbolje mogu učiti poduzetništvu i stječu prijeko potrebno iskustvo.</w:t>
      </w:r>
    </w:p>
    <w:p w:rsidR="007A71E9" w:rsidRDefault="00FE31CB">
      <w:pPr>
        <w:numPr>
          <w:ilvl w:val="0"/>
          <w:numId w:val="1"/>
        </w:numPr>
        <w:spacing w:after="324" w:line="240" w:lineRule="auto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lastRenderedPageBreak/>
        <w:t>Jeste li upoznati s mogućnošću zapošljavanja srednjoškolaca tijekom praznika? Kako planirate unaprijediti postojeći sustav učeničkih servisa?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  <w:t>Domoljubna koalicija je upoznata s ne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dostacima, kao što je nepostojanje jednakih uvjeta niti mogućnosti kako bi se svi učenici koji su zainteresirani za sezonski rad i zaposlili. </w:t>
      </w:r>
      <w:r w:rsidR="00BA0222"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Nastojat ćemo unutar instituciona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lnog okvira poticati i poslodavce kako bi u te poslove, prikladne za učenike, bi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li motivirani uključivati srednjoškolce, osobito maturante i učenike završnih razreda strukovnih škola.  </w:t>
      </w:r>
      <w:r>
        <w:rPr>
          <w:rFonts w:ascii="Calibri" w:eastAsia="Times New Roman" w:hAnsi="Calibri" w:cs="Times New Roman"/>
          <w:color w:val="FF0000"/>
          <w:sz w:val="25"/>
          <w:szCs w:val="25"/>
          <w:lang w:eastAsia="hr-HR"/>
        </w:rPr>
        <w:t xml:space="preserve"> </w:t>
      </w:r>
      <w:bookmarkStart w:id="0" w:name="_GoBack"/>
      <w:bookmarkEnd w:id="0"/>
    </w:p>
    <w:p w:rsidR="007A71E9" w:rsidRDefault="00FE31CB">
      <w:pPr>
        <w:numPr>
          <w:ilvl w:val="0"/>
          <w:numId w:val="1"/>
        </w:numPr>
        <w:spacing w:after="324" w:line="240" w:lineRule="auto"/>
        <w:textAlignment w:val="baseline"/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Kako ocjenjujete kvalitetu prakse učenika strukovnih škola? Treba li uvesti nove mjere poticanja poslodavaca kako bi uzeli što više učenika na praksu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 i koje bi to mjere bile? Nadalje, smatrate li da bi otvaranjem većeg broja školskih praktikuma praktična nastava bila kvalitetnija?</w:t>
      </w:r>
    </w:p>
    <w:p w:rsidR="007A71E9" w:rsidRPr="00BA0222" w:rsidRDefault="00FE31CB">
      <w:pPr>
        <w:spacing w:after="324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Jedna od bitnih mjera je poticanje poduzetništva pa tako u sklopu toga i učeničke prakse kroz rad u obrtima i tvrtkama koje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 posluju na tržištu. Kroz razne mjere (npr. porezne olakšice poslodavcima) povećat ćemo zainteresiranost kod poslodavaca uključivanje učenika na stručnu praksu.</w:t>
      </w:r>
      <w:r>
        <w:rPr>
          <w:rFonts w:ascii="Calibri" w:eastAsia="Times New Roman" w:hAnsi="Calibri" w:cs="Times New Roman"/>
          <w:color w:val="FF0000"/>
          <w:sz w:val="25"/>
          <w:szCs w:val="25"/>
          <w:lang w:eastAsia="hr-HR"/>
        </w:rPr>
        <w:t xml:space="preserve"> 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Naglasak je stavljen na naukovanje i praktičnu nastavu kao i uočeni problem rješavanja mjesta/t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 xml:space="preserve">vrtke, obrta i sl. gdje bi se ista kvalitetno realizirala. Domoljubna koalicija je učinila niz pomaka u tom smislu, tj. poticala je suradnju zainteresiranih dionika za opremanje praktikuma i u školama, uvođenje određenih predmeta , npr. vježbeničke tvrtke 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k</w:t>
      </w:r>
      <w:r w:rsidR="00BA0222">
        <w:rPr>
          <w:rFonts w:ascii="Calibri" w:eastAsia="Times New Roman" w:hAnsi="Calibri" w:cs="Times New Roman"/>
          <w:sz w:val="25"/>
          <w:szCs w:val="25"/>
          <w:lang w:eastAsia="hr-HR"/>
        </w:rPr>
        <w:t>a obvezni predmeti u 3. i  4. ra</w:t>
      </w:r>
      <w:r w:rsidRPr="00BA0222">
        <w:rPr>
          <w:rFonts w:ascii="Calibri" w:eastAsia="Times New Roman" w:hAnsi="Calibri" w:cs="Times New Roman"/>
          <w:sz w:val="25"/>
          <w:szCs w:val="25"/>
          <w:lang w:eastAsia="hr-HR"/>
        </w:rPr>
        <w:t>zred srednjih strukovnih škola čiji su planovi i programi zapravo simulacija poslovnih aktivnosti i sl.</w:t>
      </w:r>
    </w:p>
    <w:p w:rsidR="007A71E9" w:rsidRDefault="00FE31CB">
      <w:pPr>
        <w:spacing w:after="324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>Podražavate li e-Udžbenike koji bi zamijenili tiskane udžbenike? Ako podržavate, u kojem bi vremenskom roku e-Udžbenici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t xml:space="preserve"> zamijenili dosadašnje?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hr-HR"/>
        </w:rPr>
        <w:br/>
      </w:r>
    </w:p>
    <w:p w:rsidR="007A71E9" w:rsidRDefault="00FE31CB">
      <w:pPr>
        <w:jc w:val="both"/>
        <w:rPr>
          <w:sz w:val="24"/>
          <w:szCs w:val="24"/>
        </w:rPr>
      </w:pPr>
      <w:r>
        <w:rPr>
          <w:sz w:val="24"/>
          <w:szCs w:val="24"/>
        </w:rPr>
        <w:t>Treba povećati stupanj digitalizacije u obrazovanju, a uz pomoć EU fondova ćemo krenuti u tu inicijativu. U mjeri u kojoj je to moguće digitalizirat ćemo i udžbenike, međutim u osnovnoj školi, pogotovo nižim razredima, kada učenici</w:t>
      </w:r>
      <w:r>
        <w:rPr>
          <w:sz w:val="24"/>
          <w:szCs w:val="24"/>
        </w:rPr>
        <w:t xml:space="preserve"> razvijaju </w:t>
      </w:r>
      <w:proofErr w:type="spellStart"/>
      <w:r>
        <w:rPr>
          <w:sz w:val="24"/>
          <w:szCs w:val="24"/>
        </w:rPr>
        <w:t>grafomotoriku</w:t>
      </w:r>
      <w:proofErr w:type="spellEnd"/>
      <w:r>
        <w:rPr>
          <w:sz w:val="24"/>
          <w:szCs w:val="24"/>
        </w:rPr>
        <w:t xml:space="preserve"> teško da e-udžbenik može zam</w:t>
      </w:r>
      <w:r w:rsidR="00BA0222">
        <w:rPr>
          <w:sz w:val="24"/>
          <w:szCs w:val="24"/>
        </w:rPr>
        <w:t>i</w:t>
      </w:r>
      <w:r>
        <w:rPr>
          <w:sz w:val="24"/>
          <w:szCs w:val="24"/>
        </w:rPr>
        <w:t xml:space="preserve">jeniti pravi udžbenik. </w:t>
      </w:r>
    </w:p>
    <w:sectPr w:rsidR="007A7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CB" w:rsidRDefault="00FE31CB">
      <w:pPr>
        <w:spacing w:after="0" w:line="240" w:lineRule="auto"/>
      </w:pPr>
      <w:r>
        <w:separator/>
      </w:r>
    </w:p>
  </w:endnote>
  <w:endnote w:type="continuationSeparator" w:id="0">
    <w:p w:rsidR="00FE31CB" w:rsidRDefault="00FE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CB" w:rsidRDefault="00FE31CB">
      <w:pPr>
        <w:spacing w:after="0" w:line="240" w:lineRule="auto"/>
      </w:pPr>
      <w:r>
        <w:separator/>
      </w:r>
    </w:p>
  </w:footnote>
  <w:footnote w:type="continuationSeparator" w:id="0">
    <w:p w:rsidR="00FE31CB" w:rsidRDefault="00FE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614"/>
    </w:tblGrid>
    <w:tr w:rsidR="007A71E9">
      <w:tc>
        <w:tcPr>
          <w:tcW w:w="3402" w:type="dxa"/>
          <w:vAlign w:val="center"/>
        </w:tcPr>
        <w:p w:rsidR="007A71E9" w:rsidRDefault="00FE31CB">
          <w:r>
            <w:rPr>
              <w:noProof/>
              <w:lang w:eastAsia="hr-HR"/>
            </w:rPr>
            <w:drawing>
              <wp:inline distT="0" distB="0" distL="0" distR="0">
                <wp:extent cx="1864505" cy="1023256"/>
                <wp:effectExtent l="0" t="0" r="2540" b="5715"/>
                <wp:docPr id="4097" name="Image1" descr="C:\Users\Dominik\OneDrive\Documents\usredHR\Grafika\Logo\novo\he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505" cy="102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4" w:type="dxa"/>
        </w:tcPr>
        <w:p w:rsidR="007A71E9" w:rsidRDefault="00FE31CB">
          <w:pPr>
            <w:jc w:val="right"/>
            <w:rPr>
              <w:rFonts w:ascii="Segoe UI Light" w:hAnsi="Segoe UI Light" w:cs="Segoe UI Light"/>
              <w:sz w:val="32"/>
            </w:rPr>
          </w:pPr>
          <w:r>
            <w:rPr>
              <w:rFonts w:ascii="Segoe UI Light" w:hAnsi="Segoe UI Light" w:cs="Segoe UI Light"/>
              <w:sz w:val="32"/>
            </w:rPr>
            <w:t>Udruga srednjoškolaca Hrvatske</w:t>
          </w:r>
        </w:p>
        <w:p w:rsidR="007A71E9" w:rsidRDefault="00FE31CB">
          <w:pPr>
            <w:jc w:val="right"/>
            <w:rPr>
              <w:rFonts w:ascii="Segoe UI" w:hAnsi="Segoe UI" w:cs="Segoe UI"/>
            </w:rPr>
          </w:pPr>
          <w:proofErr w:type="spellStart"/>
          <w:r>
            <w:rPr>
              <w:rFonts w:ascii="Segoe UI" w:hAnsi="Segoe UI" w:cs="Segoe UI"/>
            </w:rPr>
            <w:t>Habdelićeva</w:t>
          </w:r>
          <w:proofErr w:type="spellEnd"/>
          <w:r>
            <w:rPr>
              <w:rFonts w:ascii="Segoe UI" w:hAnsi="Segoe UI" w:cs="Segoe UI"/>
            </w:rPr>
            <w:t xml:space="preserve"> 1, 10 000 ZAGREB</w:t>
          </w:r>
        </w:p>
        <w:p w:rsidR="007A71E9" w:rsidRDefault="00FE31CB">
          <w:pPr>
            <w:spacing w:after="60"/>
            <w:jc w:val="right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ured@usred.hr</w:t>
          </w:r>
        </w:p>
        <w:p w:rsidR="007A71E9" w:rsidRDefault="00FE31CB">
          <w:pPr>
            <w:jc w:val="right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MB: 2748550   OIB: 68149380974</w:t>
          </w:r>
        </w:p>
        <w:p w:rsidR="007A71E9" w:rsidRDefault="00FE31CB">
          <w:pPr>
            <w:jc w:val="right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Žiro račun: HR4524840081105773155</w:t>
          </w:r>
        </w:p>
      </w:tc>
    </w:tr>
  </w:tbl>
  <w:p w:rsidR="007A71E9" w:rsidRDefault="007A71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B9CA2F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E9"/>
    <w:rsid w:val="003718E8"/>
    <w:rsid w:val="005E3104"/>
    <w:rsid w:val="007A71E9"/>
    <w:rsid w:val="00BA0222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8C0E-765B-4FBE-8F08-000E1CA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b/>
      <w:bCs/>
      <w:i/>
      <w:iCs/>
      <w:color w:val="4F81BD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Matić</dc:creator>
  <cp:lastModifiedBy>Anđelka Kalfić</cp:lastModifiedBy>
  <cp:revision>2</cp:revision>
  <dcterms:created xsi:type="dcterms:W3CDTF">2015-11-04T08:48:00Z</dcterms:created>
  <dcterms:modified xsi:type="dcterms:W3CDTF">2015-11-04T08:48:00Z</dcterms:modified>
</cp:coreProperties>
</file>